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Reporting period</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Contract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MI Reports must be completed in pounds sterling unless CCS has given prior written consent to the use of another currency. </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notify CCS of any changes to the details previously provided to CCS under this Paragraph 3.4.</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42"/>
        </w:tabs>
        <w:spacing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42"/>
        </w:tabs>
        <w:spacing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Rule="auto"/>
        <w:ind w:left="720" w:firstLine="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72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sz w:val="24"/>
          <w:szCs w:val="24"/>
          <w:highlight w:val="yellow"/>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bookmarkStart w:colFirst="0" w:colLast="0" w:name="_heading=h.4d34og8" w:id="7"/>
      <w:bookmarkEnd w:id="7"/>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bookmarkStart w:colFirst="0" w:colLast="0" w:name="_heading=h.2s8eyo1" w:id="8"/>
      <w:bookmarkEnd w:id="8"/>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bookmarkStart w:colFirst="0" w:colLast="0" w:name="_heading=h.17dp8vu" w:id="9"/>
      <w:bookmarkEnd w:id="9"/>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42"/>
        </w:tabs>
        <w:spacing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Default Management Charge in respect of the Months in which the MI Default occurred and subsequent Months in which they continue, calculated in accordance with Paragraph 8.2.1 and/or </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42"/>
        </w:tabs>
        <w:spacing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42"/>
        </w:tabs>
        <w:spacing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bookmarkStart w:colFirst="0" w:colLast="0" w:name="_heading=h.3rdcrjn" w:id="10"/>
      <w:bookmarkEnd w:id="10"/>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42"/>
        </w:tabs>
        <w:spacing w:before="120" w:lineRule="auto"/>
        <w:ind w:left="2422" w:hanging="720"/>
        <w:jc w:val="left"/>
        <w:rPr>
          <w:rFonts w:ascii="Arial" w:cs="Arial" w:eastAsia="Arial" w:hAnsi="Arial"/>
          <w:color w:val="000000"/>
          <w:sz w:val="24"/>
          <w:szCs w:val="24"/>
        </w:rPr>
      </w:pPr>
      <w:bookmarkStart w:colFirst="0" w:colLast="0" w:name="_heading=h.26in1rg" w:id="11"/>
      <w:bookmarkEnd w:id="11"/>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42"/>
        </w:tabs>
        <w:spacing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leader="none" w:pos="142"/>
        </w:tabs>
        <w:spacing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42"/>
        </w:tabs>
        <w:spacing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42"/>
        </w:tabs>
        <w:spacing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2">
      <w:pPr>
        <w:jc w:val="left"/>
        <w:rPr>
          <w:rFonts w:ascii="Arial" w:cs="Arial" w:eastAsia="Arial" w:hAnsi="Arial"/>
        </w:rPr>
      </w:pPr>
      <w:r w:rsidDel="00000000" w:rsidR="00000000" w:rsidRPr="00000000">
        <w:rPr>
          <w:rFonts w:ascii="Arial" w:cs="Arial" w:eastAsia="Arial" w:hAnsi="Arial"/>
          <w:b w:val="1"/>
          <w:sz w:val="36"/>
          <w:szCs w:val="36"/>
          <w:rtl w:val="0"/>
        </w:rPr>
        <w:t xml:space="preserve">Annex: MI Reporting Template</w:t>
      </w:r>
      <w:r w:rsidDel="00000000" w:rsidR="00000000" w:rsidRPr="00000000">
        <w:rPr>
          <w:rtl w:val="0"/>
        </w:rPr>
      </w:r>
    </w:p>
    <w:p w:rsidR="00000000" w:rsidDel="00000000" w:rsidP="00000000" w:rsidRDefault="00000000" w:rsidRPr="00000000" w14:paraId="00000043">
      <w:pPr>
        <w:jc w:val="left"/>
        <w:rPr>
          <w:rFonts w:ascii="Arial" w:cs="Arial" w:eastAsia="Arial" w:hAnsi="Arial"/>
        </w:rPr>
      </w:pPr>
      <w:bookmarkStart w:colFirst="0" w:colLast="0" w:name="_heading=h.1t3h5sf" w:id="12"/>
      <w:bookmarkEnd w:id="12"/>
      <w:r w:rsidDel="00000000" w:rsidR="00000000" w:rsidRPr="00000000">
        <w:rPr>
          <w:rFonts w:ascii="Arial" w:cs="Arial" w:eastAsia="Arial" w:hAnsi="Arial"/>
        </w:rPr>
        <w:drawing>
          <wp:inline distB="0" distT="0" distL="114300" distR="114300">
            <wp:extent cx="958850" cy="6223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58850" cy="622300"/>
                    </a:xfrm>
                    <a:prstGeom prst="rect"/>
                    <a:ln/>
                  </pic:spPr>
                </pic:pic>
              </a:graphicData>
            </a:graphic>
          </wp:inline>
        </w:drawing>
      </w:r>
      <w:r w:rsidDel="00000000" w:rsidR="00000000" w:rsidRPr="00000000">
        <w:rPr>
          <w:rFonts w:ascii="Arial" w:cs="Arial" w:eastAsia="Arial" w:hAnsi="Arial"/>
          <w:rtl w:val="0"/>
        </w:rPr>
        <w:t xml:space="preserve"> </w:t>
      </w:r>
    </w:p>
    <w:p w:rsidR="00000000" w:rsidDel="00000000" w:rsidP="00000000" w:rsidRDefault="00000000" w:rsidRPr="00000000" w14:paraId="00000044">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5">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6">
      <w:pPr>
        <w:shd w:fill="ffffff" w:val="clear"/>
        <w:rPr>
          <w:rFonts w:ascii="Arial" w:cs="Arial" w:eastAsia="Arial" w:hAnsi="Arial"/>
          <w:color w:val="222222"/>
          <w:sz w:val="24"/>
          <w:szCs w:val="24"/>
        </w:rPr>
      </w:pPr>
      <w:hyperlink r:id="rId9">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7">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‘Please see embedded folder within the Framework Contract Documents folder’</w:t>
      </w:r>
    </w:p>
    <w:p w:rsidR="00000000" w:rsidDel="00000000" w:rsidP="00000000" w:rsidRDefault="00000000" w:rsidRPr="00000000" w14:paraId="0000004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jc w:val="left"/>
        <w:rPr>
          <w:rFonts w:ascii="Arial" w:cs="Arial" w:eastAsia="Arial" w:hAnsi="Arial"/>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tl w:val="0"/>
        </w:rPr>
      </w:r>
    </w:p>
    <w:p w:rsidR="00000000" w:rsidDel="00000000" w:rsidP="00000000" w:rsidRDefault="00000000" w:rsidRPr="00000000" w14:paraId="00000050">
      <w:pPr>
        <w:rPr>
          <w:rFonts w:ascii="Arial" w:cs="Arial" w:eastAsia="Arial" w:hAnsi="Arial"/>
        </w:rPr>
      </w:pPr>
      <w:r w:rsidDel="00000000" w:rsidR="00000000" w:rsidRPr="00000000">
        <w:rPr>
          <w:rtl w:val="0"/>
        </w:rPr>
      </w:r>
    </w:p>
    <w:p w:rsidR="00000000" w:rsidDel="00000000" w:rsidP="00000000" w:rsidRDefault="00000000" w:rsidRPr="00000000" w14:paraId="00000051">
      <w:pPr>
        <w:rPr>
          <w:rFonts w:ascii="Arial" w:cs="Arial" w:eastAsia="Arial" w:hAnsi="Arial"/>
        </w:rPr>
      </w:pPr>
      <w:r w:rsidDel="00000000" w:rsidR="00000000" w:rsidRPr="00000000">
        <w:rPr>
          <w:rtl w:val="0"/>
        </w:rPr>
      </w:r>
    </w:p>
    <w:p w:rsidR="00000000" w:rsidDel="00000000" w:rsidP="00000000" w:rsidRDefault="00000000" w:rsidRPr="00000000" w14:paraId="00000052">
      <w:pPr>
        <w:jc w:val="left"/>
        <w:rPr>
          <w:rFonts w:ascii="Arial" w:cs="Arial" w:eastAsia="Arial" w:hAnsi="Arial"/>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tab/>
      <w:t xml:space="preserve">                                           </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276"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sz w:val="20"/>
        <w:szCs w:val="20"/>
        <w:rtl w:val="0"/>
      </w:rPr>
      <w:t xml:space="preserve">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reportmi.crowncommercial.gov.uk/"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fq5ncwdnCjF7ta4QVkcop0q28Q==">CgMxLjAyCGguZ2pkZ3hzMgloLjMwajB6bGwyCWguMWZvYjl0ZTIJaC4zem55c2g3MgloLjJldDkycDAyCGgudHlqY3d0MgloLjNkeTZ2a20yCWguNGQzNG9nODIJaC4yczhleW8xMgloLjE3ZHA4dnUyCWguM3JkY3JqbjIJaC4yNmluMXJnMgloLjF0M2g1c2Y4AHIhMUNPb01kaWk2aWViU0lITUhCb0t2TkxaZlh5LTlQcWJt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